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72.0" w:type="dxa"/>
        <w:jc w:val="left"/>
        <w:tblInd w:w="-1806.0" w:type="dxa"/>
        <w:tblBorders>
          <w:top w:color="231f20" w:space="0" w:sz="4" w:val="single"/>
          <w:left w:color="231f20" w:space="0" w:sz="4" w:val="single"/>
          <w:bottom w:color="231f20" w:space="0" w:sz="4" w:val="single"/>
          <w:right w:color="231f20" w:space="0" w:sz="4" w:val="single"/>
          <w:insideH w:color="231f20" w:space="0" w:sz="4" w:val="single"/>
          <w:insideV w:color="231f20" w:space="0" w:sz="4" w:val="single"/>
        </w:tblBorders>
        <w:tblLayout w:type="fixed"/>
        <w:tblLook w:val="0000"/>
      </w:tblPr>
      <w:tblGrid>
        <w:gridCol w:w="1244"/>
        <w:gridCol w:w="1217"/>
        <w:gridCol w:w="196"/>
        <w:gridCol w:w="1000"/>
        <w:gridCol w:w="627"/>
        <w:gridCol w:w="233"/>
        <w:gridCol w:w="1060"/>
        <w:gridCol w:w="1785"/>
        <w:gridCol w:w="915"/>
        <w:gridCol w:w="1695"/>
        <w:tblGridChange w:id="0">
          <w:tblGrid>
            <w:gridCol w:w="1244"/>
            <w:gridCol w:w="1217"/>
            <w:gridCol w:w="196"/>
            <w:gridCol w:w="1000"/>
            <w:gridCol w:w="627"/>
            <w:gridCol w:w="233"/>
            <w:gridCol w:w="1060"/>
            <w:gridCol w:w="1785"/>
            <w:gridCol w:w="915"/>
            <w:gridCol w:w="1695"/>
          </w:tblGrid>
        </w:tblGridChange>
      </w:tblGrid>
      <w:tr>
        <w:trPr>
          <w:cantSplit w:val="0"/>
          <w:trHeight w:val="189"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1121.1023622047253"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color w:val="231f20"/>
                <w:sz w:val="16"/>
                <w:szCs w:val="16"/>
                <w:rtl w:val="0"/>
              </w:rPr>
              <w:t xml:space="preserve">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BOLETIM SANITÁRIO DE  AVES             </w:t>
            </w:r>
            <w:r w:rsidDel="00000000" w:rsidR="00000000" w:rsidRPr="00000000">
              <w:rPr>
                <w:rFonts w:ascii="Arial" w:cs="Arial" w:eastAsia="Arial" w:hAnsi="Arial"/>
                <w:b w:val="1"/>
                <w:color w:val="231f20"/>
                <w:sz w:val="16"/>
                <w:szCs w:val="16"/>
                <w:rtl w:val="0"/>
              </w:rPr>
              <w:t xml:space="preserve">Versão 8</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.0</w:t>
            </w:r>
            <w:r w:rsidDel="00000000" w:rsidR="00000000" w:rsidRPr="00000000">
              <w:rPr>
                <w:rtl w:val="0"/>
              </w:rPr>
            </w:r>
          </w:p>
        </w:tc>
      </w:tr>
      <w:tr>
        <w:trPr>
          <w:cantSplit w:val="0"/>
          <w:trHeight w:val="194"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Nome do estabelecimento avícola  comercial  (conforme cadastro SVO):</w:t>
            </w:r>
            <w:r w:rsidDel="00000000" w:rsidR="00000000" w:rsidRPr="00000000">
              <w:rPr>
                <w:rtl w:val="0"/>
              </w:rPr>
            </w:r>
          </w:p>
        </w:tc>
      </w:tr>
      <w:tr>
        <w:trPr>
          <w:cantSplit w:val="0"/>
          <w:trHeight w:val="198" w:hRule="atLeast"/>
          <w:tblHeader w:val="0"/>
        </w:trPr>
        <w:tc>
          <w:tcPr>
            <w:gridSpan w:val="7"/>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184" w:lineRule="auto"/>
              <w:ind w:left="1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Georreferenciamento:</w:t>
            </w:r>
          </w:p>
        </w:tc>
        <w:tc>
          <w:tcPr>
            <w:gridSpan w:val="3"/>
            <w:tcBorders>
              <w:top w:color="231f20" w:space="0" w:sz="4" w:val="single"/>
              <w:left w:color="231f20" w:space="0" w:sz="4" w:val="single"/>
              <w:bottom w:color="231f20" w:space="0" w:sz="4" w:val="single"/>
              <w:right w:color="231f20" w:space="0" w:sz="4" w:val="single"/>
            </w:tcBorders>
            <w:shd w:fill="auto" w:val="clear"/>
            <w:tcMar>
              <w:left w:w="178.0" w:type="dxa"/>
              <w:right w:w="80.0" w:type="dxa"/>
            </w:tcMa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184" w:lineRule="auto"/>
              <w:ind w:left="10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Município/UF:</w:t>
            </w:r>
          </w:p>
        </w:tc>
      </w:tr>
      <w:tr>
        <w:trPr>
          <w:cantSplit w:val="0"/>
          <w:trHeight w:val="194" w:hRule="atLeast"/>
          <w:tblHeader w:val="0"/>
        </w:trPr>
        <w:tc>
          <w:tcPr>
            <w:gridSpan w:val="6"/>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Cadastro no Serviço Veterinário Oficial (SVO):</w:t>
            </w:r>
            <w:r w:rsidDel="00000000" w:rsidR="00000000" w:rsidRPr="00000000">
              <w:rPr>
                <w:rtl w:val="0"/>
              </w:rPr>
            </w:r>
          </w:p>
        </w:tc>
        <w:tc>
          <w:tcPr>
            <w:gridSpan w:val="4"/>
            <w:tcBorders>
              <w:top w:color="231f20" w:space="0" w:sz="4" w:val="single"/>
              <w:left w:color="231f20" w:space="0" w:sz="4" w:val="single"/>
              <w:bottom w:color="231f20" w:space="0" w:sz="4" w:val="single"/>
              <w:right w:color="231f20" w:space="0" w:sz="4" w:val="single"/>
            </w:tcBorders>
            <w:shd w:fill="auto" w:val="clear"/>
            <w:tcMar>
              <w:left w:w="183.0" w:type="dxa"/>
              <w:right w:w="80.0" w:type="dxa"/>
            </w:tcMa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Registro no SVO (quando aplicável):</w:t>
            </w:r>
            <w:r w:rsidDel="00000000" w:rsidR="00000000" w:rsidRPr="00000000">
              <w:rPr>
                <w:rtl w:val="0"/>
              </w:rPr>
            </w:r>
          </w:p>
        </w:tc>
      </w:tr>
      <w:tr>
        <w:trPr>
          <w:cantSplit w:val="0"/>
          <w:trHeight w:val="190" w:hRule="atLeast"/>
          <w:tblHeader w:val="0"/>
        </w:trPr>
        <w:tc>
          <w:tcPr>
            <w:gridSpan w:val="8"/>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175"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Identificação do Lote/núcleo:</w:t>
            </w: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174.0" w:type="dxa"/>
              <w:right w:w="80.0" w:type="dxa"/>
            </w:tcMa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175" w:lineRule="auto"/>
              <w:ind w:left="9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N˚ de galpões do núcleo:</w:t>
            </w:r>
            <w:r w:rsidDel="00000000" w:rsidR="00000000" w:rsidRPr="00000000">
              <w:rPr>
                <w:rtl w:val="0"/>
              </w:rPr>
            </w:r>
          </w:p>
        </w:tc>
      </w:tr>
      <w:tr>
        <w:trPr>
          <w:cantSplit w:val="0"/>
          <w:trHeight w:val="194"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Médico Veterinário Sanitarista/CRMV:</w:t>
            </w:r>
            <w:r w:rsidDel="00000000" w:rsidR="00000000" w:rsidRPr="00000000">
              <w:rPr>
                <w:rtl w:val="0"/>
              </w:rPr>
            </w:r>
          </w:p>
        </w:tc>
      </w:tr>
      <w:tr>
        <w:trPr>
          <w:cantSplit w:val="0"/>
          <w:trHeight w:val="203" w:hRule="atLeast"/>
          <w:tblHeader w:val="0"/>
        </w:trPr>
        <w:tc>
          <w:tcPr>
            <w:gridSpan w:val="5"/>
            <w:vMerge w:val="restart"/>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Características do lote:</w:t>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03" w:line="364" w:lineRule="auto"/>
              <w:ind w:left="106" w:right="15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Espécie animal: ( ) Frangos  ( ) Perus ( ) outros:_____________________</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02" w:line="240" w:lineRule="auto"/>
              <w:ind w:left="14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Categoria: (  ) Corte   (  ) Reprodução     ( ) Postura</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leader="none" w:pos="1917"/>
              </w:tabs>
              <w:spacing w:after="0" w:before="1" w:line="177"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Abate sanitário: (  ) Sim</w:t>
              <w:tab/>
              <w:t xml:space="preserve">(  ) Não</w:t>
            </w:r>
            <w:r w:rsidDel="00000000" w:rsidR="00000000" w:rsidRPr="00000000">
              <w:rPr>
                <w:rtl w:val="0"/>
              </w:rPr>
            </w:r>
          </w:p>
        </w:tc>
        <w:tc>
          <w:tcPr>
            <w:gridSpan w:val="5"/>
            <w:tcBorders>
              <w:top w:color="231f20" w:space="0" w:sz="4" w:val="single"/>
              <w:left w:color="231f20" w:space="0" w:sz="4" w:val="single"/>
              <w:bottom w:color="231f20" w:space="0" w:sz="4" w:val="single"/>
              <w:right w:color="231f20" w:space="0" w:sz="4" w:val="single"/>
            </w:tcBorders>
            <w:shd w:fill="auto" w:val="clear"/>
            <w:tcMar>
              <w:left w:w="187.0" w:type="dxa"/>
              <w:right w:w="80.0" w:type="dxa"/>
            </w:tcM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Informações de rastreabilidade do lote </w:t>
            </w:r>
            <w:r w:rsidDel="00000000" w:rsidR="00000000" w:rsidRPr="00000000">
              <w:rPr>
                <w:rFonts w:ascii="Arial" w:cs="Arial" w:eastAsia="Arial" w:hAnsi="Arial"/>
                <w:b w:val="1"/>
                <w:i w:val="0"/>
                <w:smallCaps w:val="0"/>
                <w:strike w:val="0"/>
                <w:color w:val="231f20"/>
                <w:sz w:val="15"/>
                <w:szCs w:val="15"/>
                <w:u w:val="none"/>
                <w:shd w:fill="auto" w:val="clear"/>
                <w:vertAlign w:val="superscript"/>
                <w:rtl w:val="0"/>
              </w:rPr>
              <w:t xml:space="preserve">(1)</w:t>
            </w:r>
            <w:r w:rsidDel="00000000" w:rsidR="00000000" w:rsidRPr="00000000">
              <w:rPr>
                <w:rtl w:val="0"/>
              </w:rPr>
            </w:r>
          </w:p>
        </w:tc>
      </w:tr>
      <w:tr>
        <w:trPr>
          <w:cantSplit w:val="0"/>
          <w:trHeight w:val="668" w:hRule="atLeast"/>
          <w:tblHeader w:val="0"/>
        </w:trPr>
        <w:tc>
          <w:tcPr>
            <w:gridSpan w:val="5"/>
            <w:vMerge w:val="continue"/>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229.0" w:type="dxa"/>
              <w:right w:w="158.0" w:type="dxa"/>
            </w:tcM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6" w:line="163" w:lineRule="auto"/>
              <w:ind w:left="154" w:right="78" w:hanging="32.00000000000001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Data de alojamento no núcleo por GTA</w:t>
            </w: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211.0" w:type="dxa"/>
              <w:right w:w="80.0" w:type="dxa"/>
            </w:tcMa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1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GTA</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dos pintos</w:t>
            </w: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179.0" w:type="dxa"/>
              <w:right w:w="216.0" w:type="dxa"/>
            </w:tcMa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6" w:line="163" w:lineRule="auto"/>
              <w:ind w:left="104" w:right="136" w:firstLine="0"/>
              <w:jc w:val="left"/>
              <w:rPr>
                <w:rFonts w:ascii="Arial" w:cs="Arial" w:eastAsia="Arial" w:hAnsi="Arial"/>
                <w:b w:val="0"/>
                <w:i w:val="0"/>
                <w:smallCaps w:val="0"/>
                <w:strike w:val="0"/>
                <w:color w:val="231f20"/>
                <w:sz w:val="14"/>
                <w:szCs w:val="1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Número de pintos efetivamente alojados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6" w:line="163" w:lineRule="auto"/>
              <w:ind w:left="104" w:right="1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(4)</w:t>
            </w:r>
            <w:r w:rsidDel="00000000" w:rsidR="00000000" w:rsidRPr="00000000">
              <w:rPr>
                <w:rtl w:val="0"/>
              </w:rPr>
            </w:r>
          </w:p>
        </w:tc>
      </w:tr>
      <w:tr>
        <w:trPr>
          <w:cantSplit w:val="0"/>
          <w:trHeight w:val="164" w:hRule="atLeast"/>
          <w:tblHeader w:val="0"/>
        </w:trPr>
        <w:tc>
          <w:tcPr>
            <w:gridSpan w:val="5"/>
            <w:vMerge w:val="continue"/>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5" w:hRule="atLeast"/>
          <w:tblHeader w:val="0"/>
        </w:trPr>
        <w:tc>
          <w:tcPr>
            <w:gridSpan w:val="5"/>
            <w:vMerge w:val="continue"/>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5" w:hRule="atLeast"/>
          <w:tblHeader w:val="0"/>
        </w:trPr>
        <w:tc>
          <w:tcPr>
            <w:gridSpan w:val="5"/>
            <w:vMerge w:val="continue"/>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35" w:hRule="atLeast"/>
          <w:tblHeader w:val="0"/>
        </w:trPr>
        <w:tc>
          <w:tcPr>
            <w:tcBorders>
              <w:top w:color="231f20" w:space="0" w:sz="4" w:val="single"/>
              <w:left w:color="231f20" w:space="0" w:sz="4" w:val="single"/>
              <w:bottom w:color="231f20" w:space="0" w:sz="4" w:val="single"/>
              <w:right w:color="231f20" w:space="0" w:sz="4" w:val="single"/>
            </w:tcBorders>
            <w:shd w:fill="auto" w:val="clear"/>
            <w:tcMar>
              <w:left w:w="190.0" w:type="dxa"/>
              <w:right w:w="171.0" w:type="dxa"/>
            </w:tcMa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91"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Data do carregamento para abate</w:t>
            </w: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330.0" w:type="dxa"/>
              <w:right w:w="80.0" w:type="dxa"/>
            </w:tcMa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GTA</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de</w:t>
            </w: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163" w:lineRule="auto"/>
              <w:ind w:left="0" w:right="24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saída do núcleo</w:t>
            </w: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204.0" w:type="dxa"/>
              <w:right w:w="185.0" w:type="dxa"/>
            </w:tcMa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6" w:line="252.00000000000003" w:lineRule="auto"/>
              <w:ind w:left="0" w:right="1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Nº de aves programadas </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(4)</w:t>
            </w: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550.0" w:type="dxa"/>
              <w:right w:w="199.0" w:type="dxa"/>
            </w:tcMa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6" w:line="252.00000000000003" w:lineRule="auto"/>
              <w:ind w:left="0" w:right="11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Nº de aves remanescentes no lote (núcleo)</w:t>
            </w: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729.0" w:type="dxa"/>
              <w:right w:w="80.0" w:type="dxa"/>
            </w:tcMa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Destino do carregamento SIE/UF </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(3)</w:t>
            </w:r>
            <w:r w:rsidDel="00000000" w:rsidR="00000000" w:rsidRPr="00000000">
              <w:rPr>
                <w:rtl w:val="0"/>
              </w:rPr>
            </w:r>
          </w:p>
        </w:tc>
      </w:tr>
      <w:tr>
        <w:trPr>
          <w:cantSplit w:val="0"/>
          <w:trHeight w:val="420" w:hRule="atLeast"/>
          <w:tblHeader w:val="0"/>
        </w:trPr>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4" w:hRule="atLeast"/>
          <w:tblHeader w:val="0"/>
        </w:trPr>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5" w:hRule="atLeast"/>
          <w:tblHeader w:val="0"/>
        </w:trPr>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389"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Declarações relativas ao lote acima descrito </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(5)</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tabs>
                <w:tab w:val="left" w:leader="none" w:pos="8072"/>
              </w:tabs>
              <w:spacing w:after="0" w:before="5" w:line="240" w:lineRule="auto"/>
              <w:ind w:left="106" w:right="4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mortalidade do lote coberto por esse Boletim Sanitário entre a data de alojamento e a emissão presente foi de</w:t>
            </w:r>
            <w:r w:rsidDel="00000000" w:rsidR="00000000" w:rsidRPr="00000000">
              <w:rPr>
                <w:rFonts w:ascii="Arial" w:cs="Arial" w:eastAsia="Arial" w:hAnsi="Arial"/>
                <w:b w:val="0"/>
                <w:i w:val="0"/>
                <w:smallCaps w:val="0"/>
                <w:strike w:val="0"/>
                <w:color w:val="231f2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e ( )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Não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excedeu os limites de mortalidade fixados para a categoria de aves ao qual o lote pertence.</w:t>
            </w: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Excedeu, sendo atendida a suspeita e o lote liberado conforme documentação anexa.</w:t>
            </w: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Declarações relativas ao núcleo de origem das aves:</w:t>
            </w: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4"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Não houve ocorrência de nenhuma das doenças de notificação obrigatória para as aves, previstas pela Instrução Normativa nº 50/2013/MAPA no núcleo, no período de um ano antes da data de carregamento para o abate.</w:t>
            </w: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4" w:line="244" w:lineRule="auto"/>
              <w:ind w:left="106" w:right="4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Houve ocorrência das seguintes doenças de notificação obrigatória  previstas pela Instrução Normativa nº 50/2013/MAPA  no núcleo de origem das aves no período de um ano antes da data de carregamento para o abate</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tabs>
                <w:tab w:val="left" w:leader="none" w:pos="4152"/>
              </w:tabs>
              <w:spacing w:after="0" w:before="0" w:line="163" w:lineRule="auto"/>
              <w:ind w:left="1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Diagnóstico confirmado de:</w:t>
              <w:tab/>
              <w:t xml:space="preserve">  data de finalização  do caso (ou abatedas aves): </w:t>
            </w:r>
            <w:r w:rsidDel="00000000" w:rsidR="00000000" w:rsidRPr="00000000">
              <w:rPr>
                <w:rFonts w:ascii="Arial" w:cs="Arial" w:eastAsia="Arial" w:hAnsi="Arial"/>
                <w:b w:val="0"/>
                <w:i w:val="0"/>
                <w:smallCaps w:val="0"/>
                <w:strike w:val="0"/>
                <w:color w:val="231f20"/>
                <w:sz w:val="16"/>
                <w:szCs w:val="16"/>
                <w:u w:val="singl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__/</w:t>
            </w:r>
            <w:r w:rsidDel="00000000" w:rsidR="00000000" w:rsidRPr="00000000">
              <w:rPr>
                <w:rFonts w:ascii="Arial" w:cs="Arial" w:eastAsia="Arial" w:hAnsi="Arial"/>
                <w:b w:val="0"/>
                <w:i w:val="0"/>
                <w:smallCaps w:val="0"/>
                <w:strike w:val="0"/>
                <w:color w:val="231f20"/>
                <w:sz w:val="16"/>
                <w:szCs w:val="16"/>
                <w:u w:val="single"/>
                <w:shd w:fill="auto" w:val="clear"/>
                <w:vertAlign w:val="baseline"/>
                <w:rtl w:val="0"/>
              </w:rPr>
              <w:t xml:space="preserve">      _</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6"/>
                <w:szCs w:val="16"/>
                <w:u w:val="single"/>
                <w:shd w:fill="auto" w:val="clear"/>
                <w:vertAlign w:val="baseline"/>
                <w:rtl w:val="0"/>
              </w:rPr>
              <w:t xml:space="preserve">       __</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t>
            </w:r>
            <w:r w:rsidDel="00000000" w:rsidR="00000000" w:rsidRPr="00000000">
              <w:rPr>
                <w:rtl w:val="0"/>
              </w:rPr>
            </w:r>
          </w:p>
        </w:tc>
      </w:tr>
      <w:tr>
        <w:trPr>
          <w:cantSplit w:val="0"/>
          <w:trHeight w:val="186" w:hRule="atLeast"/>
          <w:tblHeader w:val="0"/>
        </w:trPr>
        <w:tc>
          <w:tcPr>
            <w:gridSpan w:val="3"/>
            <w:vMerge w:val="restart"/>
            <w:tcBorders>
              <w:top w:color="231f20" w:space="0" w:sz="4" w:val="single"/>
              <w:left w:color="231f20" w:space="0" w:sz="4" w:val="single"/>
              <w:bottom w:color="231f20" w:space="0" w:sz="4" w:val="single"/>
              <w:right w:color="231f20" w:space="0" w:sz="4" w:val="single"/>
            </w:tcBorders>
            <w:shd w:fill="auto" w:val="clear"/>
            <w:tcMar>
              <w:left w:w="485.0" w:type="dxa"/>
              <w:right w:w="80.0" w:type="dxa"/>
            </w:tcMa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Sinais clínicos/diagnóstico</w:t>
            </w: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(quando detectados) </w:t>
            </w:r>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(6) </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(1)</w:t>
            </w:r>
            <w:r w:rsidDel="00000000" w:rsidR="00000000" w:rsidRPr="00000000">
              <w:rPr>
                <w:rtl w:val="0"/>
              </w:rPr>
            </w:r>
          </w:p>
        </w:tc>
        <w:tc>
          <w:tcPr>
            <w:gridSpan w:val="6"/>
            <w:tcBorders>
              <w:top w:color="231f20" w:space="0" w:sz="4" w:val="single"/>
              <w:left w:color="231f20" w:space="0" w:sz="4" w:val="single"/>
              <w:bottom w:color="231f20" w:space="0" w:sz="4" w:val="single"/>
              <w:right w:color="231f20" w:space="0" w:sz="4" w:val="single"/>
            </w:tcBorders>
            <w:shd w:fill="auto" w:val="clear"/>
            <w:tcMar>
              <w:left w:w="1250.0" w:type="dxa"/>
              <w:right w:w="80.0" w:type="dxa"/>
            </w:tcMa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168" w:lineRule="auto"/>
              <w:ind w:left="11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Tratamentos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(quando prescritos) </w:t>
            </w:r>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(6) </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(1)</w:t>
            </w:r>
            <w:r w:rsidDel="00000000" w:rsidR="00000000" w:rsidRPr="00000000">
              <w:rPr>
                <w:rtl w:val="0"/>
              </w:rPr>
            </w:r>
          </w:p>
        </w:tc>
        <w:tc>
          <w:tcPr>
            <w:vMerge w:val="restart"/>
            <w:tcBorders>
              <w:top w:color="231f20" w:space="0" w:sz="4" w:val="single"/>
              <w:left w:color="231f20" w:space="0" w:sz="4" w:val="single"/>
              <w:bottom w:color="231f20" w:space="0" w:sz="4" w:val="single"/>
              <w:right w:color="231f20" w:space="0" w:sz="4" w:val="single"/>
            </w:tcBorders>
            <w:shd w:fill="auto" w:val="clear"/>
            <w:tcMar>
              <w:left w:w="240.0" w:type="dxa"/>
              <w:right w:w="80.0" w:type="dxa"/>
            </w:tcMa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Medicamento sem</w:t>
            </w: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carência ou período de carência atendido:</w:t>
            </w:r>
            <w:r w:rsidDel="00000000" w:rsidR="00000000" w:rsidRPr="00000000">
              <w:rPr>
                <w:rtl w:val="0"/>
              </w:rPr>
            </w:r>
          </w:p>
        </w:tc>
      </w:tr>
      <w:tr>
        <w:trPr>
          <w:cantSplit w:val="0"/>
          <w:trHeight w:val="278" w:hRule="atLeast"/>
          <w:tblHeader w:val="0"/>
        </w:trPr>
        <w:tc>
          <w:tcPr>
            <w:gridSpan w:val="3"/>
            <w:vMerge w:val="continue"/>
            <w:tcBorders>
              <w:top w:color="231f20" w:space="0" w:sz="4" w:val="single"/>
              <w:left w:color="231f20" w:space="0" w:sz="4" w:val="single"/>
              <w:bottom w:color="231f20" w:space="0" w:sz="4" w:val="single"/>
              <w:right w:color="231f20" w:space="0" w:sz="4" w:val="single"/>
            </w:tcBorders>
            <w:shd w:fill="auto" w:val="clear"/>
            <w:tcMar>
              <w:left w:w="485.0" w:type="dxa"/>
              <w:right w:w="80.0" w:type="dxa"/>
            </w:tcM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186.0" w:type="dxa"/>
              <w:right w:w="80.0" w:type="dxa"/>
            </w:tcMa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1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Nome comercial</w:t>
            </w: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183.0" w:type="dxa"/>
              <w:right w:w="80.0" w:type="dxa"/>
            </w:tcMa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Princípio ativo</w:t>
            </w: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174.0" w:type="dxa"/>
              <w:right w:w="80.0" w:type="dxa"/>
            </w:tcMa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9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Data de fim</w:t>
            </w:r>
            <w:r w:rsidDel="00000000" w:rsidR="00000000" w:rsidRPr="00000000">
              <w:rPr>
                <w:rtl w:val="0"/>
              </w:rPr>
            </w:r>
          </w:p>
        </w:tc>
        <w:tc>
          <w:tcPr>
            <w:vMerge w:val="continue"/>
            <w:tcBorders>
              <w:top w:color="231f20" w:space="0" w:sz="4" w:val="single"/>
              <w:left w:color="231f20" w:space="0" w:sz="4" w:val="single"/>
              <w:bottom w:color="231f20" w:space="0" w:sz="4" w:val="single"/>
              <w:right w:color="231f20" w:space="0" w:sz="4" w:val="single"/>
            </w:tcBorders>
            <w:shd w:fill="auto" w:val="clear"/>
            <w:tcMar>
              <w:left w:w="240.0" w:type="dxa"/>
              <w:right w:w="80.0" w:type="dxa"/>
            </w:tcM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4" w:hRule="atLeast"/>
          <w:tblHeader w:val="0"/>
        </w:trPr>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463.0" w:type="dxa"/>
            </w:tcMa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0" w:right="383"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Sim</w:t>
            </w:r>
            <w:r w:rsidDel="00000000" w:rsidR="00000000" w:rsidRPr="00000000">
              <w:rPr>
                <w:rtl w:val="0"/>
              </w:rPr>
            </w:r>
          </w:p>
        </w:tc>
      </w:tr>
      <w:tr>
        <w:trPr>
          <w:cantSplit w:val="0"/>
          <w:trHeight w:val="194" w:hRule="atLeast"/>
          <w:tblHeader w:val="0"/>
        </w:trPr>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463.0" w:type="dxa"/>
            </w:tcMa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0" w:right="383"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Sim</w:t>
            </w:r>
            <w:r w:rsidDel="00000000" w:rsidR="00000000" w:rsidRPr="00000000">
              <w:rPr>
                <w:rtl w:val="0"/>
              </w:rPr>
            </w:r>
          </w:p>
        </w:tc>
      </w:tr>
      <w:tr>
        <w:trPr>
          <w:cantSplit w:val="0"/>
          <w:trHeight w:val="194" w:hRule="atLeast"/>
          <w:tblHeader w:val="0"/>
        </w:trPr>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463.0" w:type="dxa"/>
            </w:tcMar>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0" w:right="383"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Sim</w:t>
            </w:r>
            <w:r w:rsidDel="00000000" w:rsidR="00000000" w:rsidRPr="00000000">
              <w:rPr>
                <w:rtl w:val="0"/>
              </w:rPr>
            </w:r>
          </w:p>
        </w:tc>
      </w:tr>
      <w:tr>
        <w:trPr>
          <w:cantSplit w:val="0"/>
          <w:trHeight w:val="190" w:hRule="atLeast"/>
          <w:tblHeader w:val="0"/>
        </w:trPr>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463.0" w:type="dxa"/>
            </w:tcMar>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175" w:lineRule="auto"/>
              <w:ind w:left="0" w:right="383"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Sim</w:t>
            </w:r>
            <w:r w:rsidDel="00000000" w:rsidR="00000000" w:rsidRPr="00000000">
              <w:rPr>
                <w:rtl w:val="0"/>
              </w:rPr>
            </w:r>
          </w:p>
        </w:tc>
      </w:tr>
      <w:tr>
        <w:trPr>
          <w:cantSplit w:val="0"/>
          <w:trHeight w:val="223"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Condição geral do lote que possa influenciar no abate</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(1)(7)</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t>
            </w:r>
            <w:r w:rsidDel="00000000" w:rsidR="00000000" w:rsidRPr="00000000">
              <w:rPr>
                <w:rtl w:val="0"/>
              </w:rPr>
            </w:r>
          </w:p>
        </w:tc>
      </w:tr>
      <w:tr>
        <w:trPr>
          <w:cantSplit w:val="0"/>
          <w:trHeight w:val="223"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Vacinas aplicadas no lote</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t>
            </w:r>
            <w:r w:rsidDel="00000000" w:rsidR="00000000" w:rsidRPr="00000000">
              <w:rPr>
                <w:rtl w:val="0"/>
              </w:rPr>
            </w:r>
          </w:p>
        </w:tc>
      </w:tr>
      <w:tr>
        <w:trPr>
          <w:cantSplit w:val="0"/>
          <w:trHeight w:val="189"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Data de registro da última vista de Médico Veterinário Sanitarista ao estabelecimento avícola:</w:t>
            </w:r>
            <w:r w:rsidDel="00000000" w:rsidR="00000000" w:rsidRPr="00000000">
              <w:rPr>
                <w:rtl w:val="0"/>
              </w:rPr>
            </w:r>
          </w:p>
        </w:tc>
      </w:tr>
      <w:tr>
        <w:trPr>
          <w:cantSplit w:val="0"/>
          <w:trHeight w:val="390"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181.0" w:type="dxa"/>
              <w:right w:w="568.0" w:type="dxa"/>
            </w:tcMar>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tabs>
                <w:tab w:val="left" w:leader="none" w:pos="6019"/>
              </w:tabs>
              <w:spacing w:after="0" w:before="16" w:line="220" w:lineRule="auto"/>
              <w:ind w:left="106" w:right="4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Jejum e dieta hídrica: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programação de retirada de ração prevê o atendimento de</w:t>
            </w:r>
            <w:r w:rsidDel="00000000" w:rsidR="00000000" w:rsidRPr="00000000">
              <w:rPr>
                <w:rFonts w:ascii="Arial" w:cs="Arial" w:eastAsia="Arial" w:hAnsi="Arial"/>
                <w:b w:val="0"/>
                <w:i w:val="0"/>
                <w:smallCaps w:val="0"/>
                <w:strike w:val="0"/>
                <w:color w:val="231f2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horas de jejum e dieta hídrica cumpridas no estabelecimento avícola.</w:t>
            </w:r>
            <w:r w:rsidDel="00000000" w:rsidR="00000000" w:rsidRPr="00000000">
              <w:rPr>
                <w:rtl w:val="0"/>
              </w:rPr>
            </w:r>
          </w:p>
        </w:tc>
      </w:tr>
      <w:tr>
        <w:trPr>
          <w:cantSplit w:val="0"/>
          <w:trHeight w:val="235"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Informações referentes aos resultados de monitoramento de patógenos</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(1)(8)</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t>
            </w:r>
            <w:r w:rsidDel="00000000" w:rsidR="00000000" w:rsidRPr="00000000">
              <w:rPr>
                <w:rtl w:val="0"/>
              </w:rPr>
            </w:r>
          </w:p>
        </w:tc>
      </w:tr>
      <w:tr>
        <w:trPr>
          <w:cantSplit w:val="0"/>
          <w:trHeight w:val="441"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Declarações para atendimento aos requisitos complementares específicos para a exportação aplicáveis ao lote e ao estabelecimento avícola</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t>
            </w:r>
            <w:r w:rsidDel="00000000" w:rsidR="00000000" w:rsidRPr="00000000">
              <w:rPr>
                <w:rtl w:val="0"/>
              </w:rPr>
            </w:r>
          </w:p>
        </w:tc>
      </w:tr>
      <w:tr>
        <w:trPr>
          <w:cantSplit w:val="0"/>
          <w:trHeight w:val="859"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181.0" w:type="dxa"/>
              <w:right w:w="568.0" w:type="dxa"/>
            </w:tcMar>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6" w:line="244" w:lineRule="auto"/>
              <w:ind w:left="106" w:right="4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abaixo assinado declara que os animais acima identificados foram examinados antes do abate no estabelecimento avícola acima referido e foram considerados saudáveis para fins de trânsito para o abate</w:t>
            </w:r>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(9)</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1" w:line="184" w:lineRule="auto"/>
              <w:ind w:left="106" w:right="23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registros e a documentação relativos a estes animais estão em conformidade com os requisitos legais, não havendo causa para proibição de seu trânsito ou abate.</w:t>
            </w:r>
            <w:r w:rsidDel="00000000" w:rsidR="00000000" w:rsidRPr="00000000">
              <w:rPr>
                <w:rtl w:val="0"/>
              </w:rPr>
            </w:r>
          </w:p>
        </w:tc>
      </w:tr>
      <w:tr>
        <w:trPr>
          <w:cantSplit w:val="0"/>
          <w:trHeight w:val="340"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168" w:lineRule="auto"/>
              <w:ind w:left="0" w:right="79"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Assinatura e CRMV do  MV</w:t>
            </w:r>
            <w:r w:rsidDel="00000000" w:rsidR="00000000" w:rsidRPr="00000000">
              <w:rPr>
                <w:rtl w:val="0"/>
              </w:rPr>
            </w:r>
          </w:p>
        </w:tc>
      </w:tr>
      <w:tr>
        <w:trPr>
          <w:cantSplit w:val="0"/>
          <w:trHeight w:val="2815"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6" w:right="0"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Legenda:</w:t>
            </w:r>
          </w:p>
          <w:p w:rsidR="00000000" w:rsidDel="00000000" w:rsidP="00000000" w:rsidRDefault="00000000" w:rsidRPr="00000000" w14:paraId="0000013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7"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Incluir quantas linhas forem necessárias para reportar as informações (rubricar todas as folhas), informações no verso devem ser também rubricadas.</w:t>
            </w:r>
          </w:p>
          <w:p w:rsidR="00000000" w:rsidDel="00000000" w:rsidP="00000000" w:rsidRDefault="00000000" w:rsidRPr="00000000" w14:paraId="0000014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Identificação da Guia de Trânsito Animal, incluindo número e série.</w:t>
            </w:r>
          </w:p>
          <w:p w:rsidR="00000000" w:rsidDel="00000000" w:rsidP="00000000" w:rsidRDefault="00000000" w:rsidRPr="00000000" w14:paraId="0000014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Informar destino (SIF) de todas as cargas do lote. No caso de cargas enviadas para abate em estabelecimentos sob inspeção municipal ou estadual incluir o endereço e a UF.</w:t>
            </w:r>
          </w:p>
          <w:p w:rsidR="00000000" w:rsidDel="00000000" w:rsidP="00000000" w:rsidRDefault="00000000" w:rsidRPr="00000000" w14:paraId="0000014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Discrepâncias na quantidade de aves declaradas na GTA e efetivamente carregadas/recebidas devem ser reportadas ao emissor da GTA, para as </w:t>
            </w:r>
            <w:r w:rsidDel="00000000" w:rsidR="00000000" w:rsidRPr="00000000">
              <w:rPr>
                <w:rFonts w:ascii="Arial" w:cs="Arial" w:eastAsia="Arial" w:hAnsi="Arial"/>
                <w:color w:val="231f20"/>
                <w:sz w:val="12"/>
                <w:szCs w:val="12"/>
                <w:rtl w:val="0"/>
              </w:rPr>
              <w:t xml:space="preserve">providências</w:t>
            </w: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 na forma definida pela legislação de saúde animal.</w:t>
            </w:r>
          </w:p>
          <w:p w:rsidR="00000000" w:rsidDel="00000000" w:rsidP="00000000" w:rsidRDefault="00000000" w:rsidRPr="00000000" w14:paraId="0000014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Anexar cópia de notificações e resultados de atendimento feito pelo SVO, bem como confirmações e notificações realizadas durante a criação das aves, em atendimento a Instrução Normativa Nº 50/2013/MAPA e suas atualizações.</w:t>
            </w:r>
          </w:p>
          <w:p w:rsidR="00000000" w:rsidDel="00000000" w:rsidP="00000000" w:rsidRDefault="00000000" w:rsidRPr="00000000" w14:paraId="0000014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Para tratamento não terapêutico, especificar no campo “Sinais clínicos/diagnóstico”: “não terapêutico". Para sinais clínicos/diagnósticos não tratados, especificar no campo “Nome comercial”: “não tratado”. No caso de não haver ocorrência alguma no lote, declarar “sem ocorrência” no campo “diagnóstico”.</w:t>
            </w:r>
          </w:p>
          <w:p w:rsidR="00000000" w:rsidDel="00000000" w:rsidP="00000000" w:rsidRDefault="00000000" w:rsidRPr="00000000" w14:paraId="0000014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Condições, alterações ou lesões identificadas no lote que possam causar transtornos no abate, como nos casos de falta de uniformidade do lote, arranhões, canibalismo, papo pendular, alterações musculares entre outros. No caso de não haver ocorrência alguma no lote, declarar “sem ocorrência”.</w:t>
            </w:r>
          </w:p>
          <w:p w:rsidR="00000000" w:rsidDel="00000000" w:rsidP="00000000" w:rsidRDefault="00000000" w:rsidRPr="00000000" w14:paraId="0000014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157"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Resultados laboratoriais reportados na forma prevista pela Instrução Normativa Nº 20/2016/SDA e suas alterações, ou de outros patógenos de interesse em saúde pública.</w:t>
            </w:r>
          </w:p>
          <w:p w:rsidR="00000000" w:rsidDel="00000000" w:rsidP="00000000" w:rsidRDefault="00000000" w:rsidRPr="00000000" w14:paraId="0000014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Serão considerados não saudáveis e inaptos ao carregamento para o abate os lotes cujo status de saúde animal impeça seu trânsito em território nacional. Riscar</w:t>
            </w:r>
            <w:r w:rsidDel="00000000" w:rsidR="00000000" w:rsidRPr="00000000">
              <w:rPr>
                <w:rFonts w:ascii="Arial" w:cs="Arial" w:eastAsia="Arial" w:hAnsi="Arial"/>
                <w:color w:val="231f20"/>
                <w:sz w:val="12"/>
                <w:szCs w:val="12"/>
                <w:rtl w:val="0"/>
              </w:rPr>
              <w:t xml:space="preserve"> </w:t>
            </w: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no caso de aves encaminhadas no âmbito do abate sanitário, por determinação do Serviço Veterinário Oficial.</w:t>
            </w:r>
          </w:p>
        </w:tc>
      </w:tr>
      <w:tr>
        <w:trPr>
          <w:cantSplit w:val="0"/>
          <w:trHeight w:val="209"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2030.0" w:type="dxa"/>
            </w:tcMar>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955" w:right="1951"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7"/>
                <w:szCs w:val="17"/>
                <w:u w:val="none"/>
                <w:shd w:fill="auto" w:val="clear"/>
                <w:vertAlign w:val="baseline"/>
                <w:rtl w:val="0"/>
              </w:rPr>
              <w:t xml:space="preserve">CAMPO EXCLUSIVO PARA REGISTROS E COMUNICAÇÕES DO SIE</w:t>
            </w:r>
            <w:r w:rsidDel="00000000" w:rsidR="00000000" w:rsidRPr="00000000">
              <w:rPr>
                <w:rtl w:val="0"/>
              </w:rPr>
            </w:r>
          </w:p>
        </w:tc>
      </w:tr>
      <w:tr>
        <w:trPr>
          <w:cantSplit w:val="0"/>
          <w:trHeight w:val="338"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9"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75.0" w:type="dxa"/>
              <w:right w:w="165.0" w:type="dxa"/>
            </w:tcMar>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85" w:firstLine="0"/>
              <w:jc w:val="right"/>
              <w:rPr>
                <w:rFonts w:ascii="Arial" w:cs="Arial" w:eastAsia="Arial" w:hAnsi="Arial"/>
                <w:b w:val="0"/>
                <w:i w:val="0"/>
                <w:smallCaps w:val="0"/>
                <w:strike w:val="0"/>
                <w:color w:val="231f20"/>
                <w:sz w:val="14"/>
                <w:szCs w:val="1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Carimbo e assinatura do </w:t>
            </w:r>
            <w:r w:rsidDel="00000000" w:rsidR="00000000" w:rsidRPr="00000000">
              <w:rPr>
                <w:rFonts w:ascii="Arial" w:cs="Arial" w:eastAsia="Arial" w:hAnsi="Arial"/>
                <w:color w:val="231f20"/>
                <w:sz w:val="14"/>
                <w:szCs w:val="14"/>
                <w:rtl w:val="0"/>
              </w:rPr>
              <w:t xml:space="preserve">MVA</w:t>
            </w: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 ou MVO</w:t>
            </w:r>
          </w:p>
        </w:tc>
      </w:tr>
    </w:tbl>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hanging="1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777" w:top="1100" w:left="2834.645669291339"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79" w:hanging="174"/>
      </w:pPr>
      <w:rPr>
        <w:rFonts w:ascii="Calibri" w:cs="Calibri" w:eastAsia="Calibri" w:hAnsi="Calibri"/>
        <w:b w:val="0"/>
        <w:i w:val="0"/>
        <w:smallCaps w:val="0"/>
        <w:strike w:val="0"/>
        <w:color w:val="231f20"/>
        <w:sz w:val="12"/>
        <w:szCs w:val="12"/>
        <w:vertAlign w:val="baseline"/>
      </w:rPr>
    </w:lvl>
    <w:lvl w:ilvl="1">
      <w:start w:val="1"/>
      <w:numFmt w:val="decimal"/>
      <w:lvlText w:val="(%2)"/>
      <w:lvlJc w:val="left"/>
      <w:pPr>
        <w:ind w:left="894" w:hanging="174"/>
      </w:pPr>
      <w:rPr>
        <w:b w:val="0"/>
        <w:i w:val="0"/>
        <w:smallCaps w:val="0"/>
        <w:strike w:val="0"/>
        <w:color w:val="231f20"/>
        <w:sz w:val="24"/>
        <w:szCs w:val="24"/>
        <w:vertAlign w:val="baseline"/>
      </w:rPr>
    </w:lvl>
    <w:lvl w:ilvl="2">
      <w:start w:val="1"/>
      <w:numFmt w:val="decimal"/>
      <w:lvlText w:val="(%3)"/>
      <w:lvlJc w:val="left"/>
      <w:pPr>
        <w:ind w:left="1614" w:hanging="174"/>
      </w:pPr>
      <w:rPr>
        <w:b w:val="0"/>
        <w:i w:val="0"/>
        <w:smallCaps w:val="0"/>
        <w:strike w:val="0"/>
        <w:color w:val="231f20"/>
        <w:sz w:val="24"/>
        <w:szCs w:val="24"/>
        <w:vertAlign w:val="baseline"/>
      </w:rPr>
    </w:lvl>
    <w:lvl w:ilvl="3">
      <w:start w:val="1"/>
      <w:numFmt w:val="decimal"/>
      <w:lvlText w:val="(%4)"/>
      <w:lvlJc w:val="left"/>
      <w:pPr>
        <w:ind w:left="2334" w:hanging="174"/>
      </w:pPr>
      <w:rPr>
        <w:b w:val="0"/>
        <w:i w:val="0"/>
        <w:smallCaps w:val="0"/>
        <w:strike w:val="0"/>
        <w:color w:val="231f20"/>
        <w:sz w:val="24"/>
        <w:szCs w:val="24"/>
        <w:vertAlign w:val="baseline"/>
      </w:rPr>
    </w:lvl>
    <w:lvl w:ilvl="4">
      <w:start w:val="1"/>
      <w:numFmt w:val="decimal"/>
      <w:lvlText w:val="(%5)"/>
      <w:lvlJc w:val="left"/>
      <w:pPr>
        <w:ind w:left="3054" w:hanging="174"/>
      </w:pPr>
      <w:rPr>
        <w:b w:val="0"/>
        <w:i w:val="0"/>
        <w:smallCaps w:val="0"/>
        <w:strike w:val="0"/>
        <w:color w:val="231f20"/>
        <w:sz w:val="24"/>
        <w:szCs w:val="24"/>
        <w:vertAlign w:val="baseline"/>
      </w:rPr>
    </w:lvl>
    <w:lvl w:ilvl="5">
      <w:start w:val="1"/>
      <w:numFmt w:val="decimal"/>
      <w:lvlText w:val="(%6)"/>
      <w:lvlJc w:val="left"/>
      <w:pPr>
        <w:ind w:left="3774" w:hanging="174"/>
      </w:pPr>
      <w:rPr>
        <w:b w:val="0"/>
        <w:i w:val="0"/>
        <w:smallCaps w:val="0"/>
        <w:strike w:val="0"/>
        <w:color w:val="231f20"/>
        <w:sz w:val="24"/>
        <w:szCs w:val="24"/>
        <w:vertAlign w:val="baseline"/>
      </w:rPr>
    </w:lvl>
    <w:lvl w:ilvl="6">
      <w:start w:val="1"/>
      <w:numFmt w:val="decimal"/>
      <w:lvlText w:val="(%7)"/>
      <w:lvlJc w:val="left"/>
      <w:pPr>
        <w:ind w:left="4494" w:hanging="174"/>
      </w:pPr>
      <w:rPr>
        <w:b w:val="0"/>
        <w:i w:val="0"/>
        <w:smallCaps w:val="0"/>
        <w:strike w:val="0"/>
        <w:color w:val="231f20"/>
        <w:sz w:val="24"/>
        <w:szCs w:val="24"/>
        <w:vertAlign w:val="baseline"/>
      </w:rPr>
    </w:lvl>
    <w:lvl w:ilvl="7">
      <w:start w:val="1"/>
      <w:numFmt w:val="decimal"/>
      <w:lvlText w:val="(%8)"/>
      <w:lvlJc w:val="left"/>
      <w:pPr>
        <w:ind w:left="5214" w:hanging="174"/>
      </w:pPr>
      <w:rPr>
        <w:b w:val="0"/>
        <w:i w:val="0"/>
        <w:smallCaps w:val="0"/>
        <w:strike w:val="0"/>
        <w:color w:val="231f20"/>
        <w:sz w:val="24"/>
        <w:szCs w:val="24"/>
        <w:vertAlign w:val="baseline"/>
      </w:rPr>
    </w:lvl>
    <w:lvl w:ilvl="8">
      <w:start w:val="1"/>
      <w:numFmt w:val="decimal"/>
      <w:lvlText w:val="(%9)"/>
      <w:lvlJc w:val="left"/>
      <w:pPr>
        <w:ind w:left="5934" w:hanging="174"/>
      </w:pPr>
      <w:rPr>
        <w:b w:val="0"/>
        <w:i w:val="0"/>
        <w:smallCaps w:val="0"/>
        <w:strike w:val="0"/>
        <w:color w:val="231f20"/>
        <w:sz w:val="24"/>
        <w:szCs w:val="24"/>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80.0" w:type="dxa"/>
        <w:left w:w="2026.0" w:type="dxa"/>
        <w:bottom w:w="80.0" w:type="dxa"/>
        <w:right w:w="2031.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80.0" w:type="dxa"/>
        <w:left w:w="2026.0" w:type="dxa"/>
        <w:bottom w:w="80.0" w:type="dxa"/>
        <w:right w:w="2031.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80.0" w:type="dxa"/>
        <w:left w:w="2026.0" w:type="dxa"/>
        <w:bottom w:w="80.0" w:type="dxa"/>
        <w:right w:w="203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5TanBbCTRQwrTmB1cELHXH7QQ==">CgMxLjA4AHIhMVNuT0w0R25OZ1JIaGpsWWxuM1o0WGUyNF9rd0doeFBu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